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2F" w:rsidRPr="00F9312F" w:rsidRDefault="00F9312F" w:rsidP="00F9312F">
      <w:pPr>
        <w:tabs>
          <w:tab w:val="left" w:pos="32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F9312F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9312F" w:rsidRPr="00F9312F" w:rsidRDefault="00F9312F" w:rsidP="00F9312F">
      <w:pPr>
        <w:tabs>
          <w:tab w:val="left" w:pos="324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9312F">
        <w:rPr>
          <w:rFonts w:eastAsia="Calibri"/>
          <w:b/>
          <w:sz w:val="28"/>
          <w:szCs w:val="28"/>
          <w:lang w:eastAsia="en-US"/>
        </w:rPr>
        <w:t>ГОРОДСКОГО ПОСЕЛЕНИЯ «РАБОЧИЙ ПОСЕЛОК ЧЕГДОМЫН»</w:t>
      </w:r>
    </w:p>
    <w:p w:rsidR="00F9312F" w:rsidRPr="00F9312F" w:rsidRDefault="00F9312F" w:rsidP="00F9312F">
      <w:pPr>
        <w:tabs>
          <w:tab w:val="left" w:pos="324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9312F">
        <w:rPr>
          <w:rFonts w:eastAsia="Calibri"/>
          <w:b/>
          <w:sz w:val="28"/>
          <w:szCs w:val="28"/>
          <w:lang w:eastAsia="en-US"/>
        </w:rPr>
        <w:t>Верхнебуреинского муниципального района Хабаровского края</w:t>
      </w:r>
    </w:p>
    <w:p w:rsidR="00F9312F" w:rsidRPr="00F9312F" w:rsidRDefault="00F9312F" w:rsidP="00F9312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9312F" w:rsidRPr="00F9312F" w:rsidRDefault="00F9312F" w:rsidP="00F9312F">
      <w:pPr>
        <w:tabs>
          <w:tab w:val="left" w:pos="3735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9312F">
        <w:rPr>
          <w:rFonts w:eastAsia="Calibri"/>
          <w:sz w:val="28"/>
          <w:szCs w:val="28"/>
          <w:lang w:eastAsia="en-US"/>
        </w:rPr>
        <w:tab/>
      </w:r>
      <w:r w:rsidRPr="00F9312F">
        <w:rPr>
          <w:rFonts w:eastAsia="Calibri"/>
          <w:b/>
          <w:sz w:val="28"/>
          <w:szCs w:val="28"/>
          <w:lang w:eastAsia="en-US"/>
        </w:rPr>
        <w:t>РЕШЕНИЕ</w:t>
      </w:r>
    </w:p>
    <w:p w:rsidR="00090886" w:rsidRDefault="00090886" w:rsidP="00F9312F">
      <w:pPr>
        <w:shd w:val="clear" w:color="auto" w:fill="FFFFFF"/>
        <w:tabs>
          <w:tab w:val="left" w:pos="3030"/>
        </w:tabs>
        <w:ind w:firstLine="567"/>
        <w:rPr>
          <w:color w:val="000000" w:themeColor="text1"/>
          <w:sz w:val="28"/>
          <w:szCs w:val="28"/>
        </w:rPr>
      </w:pPr>
    </w:p>
    <w:p w:rsidR="00354979" w:rsidRDefault="00354979">
      <w:pPr>
        <w:rPr>
          <w:i/>
          <w:iCs/>
          <w:color w:val="000000" w:themeColor="text1"/>
        </w:rPr>
      </w:pPr>
      <w:bookmarkStart w:id="0" w:name="_GoBack"/>
      <w:bookmarkEnd w:id="0"/>
    </w:p>
    <w:p w:rsidR="007D6303" w:rsidRDefault="007D6303">
      <w:pPr>
        <w:rPr>
          <w:i/>
          <w:iCs/>
          <w:color w:val="000000" w:themeColor="text1"/>
        </w:rPr>
      </w:pPr>
    </w:p>
    <w:p w:rsidR="007D6303" w:rsidRDefault="00F9312F">
      <w:pPr>
        <w:rPr>
          <w:iCs/>
          <w:color w:val="000000" w:themeColor="text1"/>
        </w:rPr>
      </w:pPr>
      <w:r>
        <w:rPr>
          <w:iCs/>
          <w:color w:val="000000" w:themeColor="text1"/>
        </w:rPr>
        <w:t>17.02.2022 № 337</w:t>
      </w:r>
    </w:p>
    <w:p w:rsidR="00F12C63" w:rsidRDefault="00F12C63" w:rsidP="00F9312F">
      <w:pPr>
        <w:jc w:val="both"/>
        <w:rPr>
          <w:color w:val="000000" w:themeColor="text1"/>
        </w:rPr>
      </w:pPr>
    </w:p>
    <w:p w:rsidR="00F12C63" w:rsidRDefault="00F12C63" w:rsidP="009747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решение</w:t>
      </w:r>
      <w:r w:rsidR="009747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Совета депутатов городского поселения</w:t>
      </w:r>
      <w:r w:rsidR="00974767">
        <w:rPr>
          <w:color w:val="000000" w:themeColor="text1"/>
          <w:sz w:val="28"/>
          <w:szCs w:val="28"/>
        </w:rPr>
        <w:t xml:space="preserve"> «Рабочий поселок Чегдомын» от 27.01.2022 года № 317 «Об утверждении Положения о муниципальном контроле в сфере благоустройства на территории городского поселения «Рабочий поселок Чегдомын» Верхнебуреинского муниципального района Хабаровского края</w:t>
      </w:r>
    </w:p>
    <w:p w:rsidR="00974767" w:rsidRDefault="00974767" w:rsidP="00974767">
      <w:pPr>
        <w:jc w:val="both"/>
        <w:rPr>
          <w:color w:val="000000" w:themeColor="text1"/>
          <w:sz w:val="28"/>
          <w:szCs w:val="28"/>
        </w:rPr>
      </w:pPr>
    </w:p>
    <w:p w:rsidR="00974767" w:rsidRDefault="00974767" w:rsidP="009747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 связи с Федеральным законом от 31.07.2020 № 248-ФЗ «О государственном контроле (надзоре) и муниципальном ко</w:t>
      </w:r>
      <w:r w:rsidR="007A72CB">
        <w:rPr>
          <w:color w:val="000000" w:themeColor="text1"/>
          <w:sz w:val="28"/>
          <w:szCs w:val="28"/>
        </w:rPr>
        <w:t>нтроле в Российской Федерации», Уставом городского поселения «Рабочий поселок Чегдомын» Верхнебуреинского муниципального района Хабаровского края, Совет депутатов городского поселения «Рабочий поселок Чегдомын» Верхнебуреинского муниципального района Хабаровского края</w:t>
      </w:r>
    </w:p>
    <w:p w:rsidR="007A72CB" w:rsidRDefault="007A72CB" w:rsidP="009747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РЕШИЛ:</w:t>
      </w:r>
    </w:p>
    <w:p w:rsidR="007A72CB" w:rsidRDefault="007A72CB" w:rsidP="007A72C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в решение Совета депутатов городского поселения «Рабочий</w:t>
      </w:r>
    </w:p>
    <w:p w:rsidR="007A72CB" w:rsidRDefault="007A72CB" w:rsidP="007A72CB">
      <w:pPr>
        <w:jc w:val="both"/>
        <w:rPr>
          <w:color w:val="000000" w:themeColor="text1"/>
          <w:sz w:val="28"/>
          <w:szCs w:val="28"/>
        </w:rPr>
      </w:pPr>
      <w:r w:rsidRPr="007A72CB">
        <w:rPr>
          <w:color w:val="000000" w:themeColor="text1"/>
          <w:sz w:val="28"/>
          <w:szCs w:val="28"/>
        </w:rPr>
        <w:t>поселок Чегдомын» от 27.01.2022 года № 317 «Об утверждении Положения о муниципальном контроле в сфере благоустройства на территории городского поселения «Рабочий поселок Чегдомын» Верхнебуреинского муниципального района Хабаровского края следующие изменения:</w:t>
      </w:r>
    </w:p>
    <w:p w:rsidR="00C05310" w:rsidRDefault="007A72CB" w:rsidP="00C05310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5.1 утвержденного </w:t>
      </w:r>
      <w:r w:rsidR="00C05310">
        <w:rPr>
          <w:color w:val="000000" w:themeColor="text1"/>
          <w:sz w:val="28"/>
          <w:szCs w:val="28"/>
        </w:rPr>
        <w:t>решением «Положения о муниципальном</w:t>
      </w:r>
    </w:p>
    <w:p w:rsidR="00C05310" w:rsidRDefault="00C05310" w:rsidP="00C05310">
      <w:pPr>
        <w:jc w:val="both"/>
        <w:rPr>
          <w:color w:val="000000" w:themeColor="text1"/>
          <w:sz w:val="28"/>
          <w:szCs w:val="28"/>
        </w:rPr>
      </w:pPr>
      <w:r w:rsidRPr="00C05310">
        <w:rPr>
          <w:color w:val="000000" w:themeColor="text1"/>
          <w:sz w:val="28"/>
          <w:szCs w:val="28"/>
        </w:rPr>
        <w:t xml:space="preserve">контроле в сфере благоустройства на территории городского поселения «Рабочий поселок Чегдомын» Верхнебуреинского муниципального района Хабаровского края изложить в следующей редакции: </w:t>
      </w:r>
      <w:r w:rsidR="007A72CB" w:rsidRPr="00C05310">
        <w:rPr>
          <w:color w:val="000000" w:themeColor="text1"/>
          <w:sz w:val="28"/>
          <w:szCs w:val="28"/>
        </w:rPr>
        <w:t xml:space="preserve"> </w:t>
      </w:r>
    </w:p>
    <w:p w:rsidR="007D6303" w:rsidRDefault="00C05310" w:rsidP="00C053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«5.2. Ключевые</w:t>
      </w:r>
      <w:r w:rsidR="007D6303">
        <w:rPr>
          <w:color w:val="000000" w:themeColor="text1"/>
          <w:sz w:val="28"/>
          <w:szCs w:val="28"/>
        </w:rPr>
        <w:t xml:space="preserve"> и индикативные показатели контроля в сфере благоустройства указаны в приложении № 2 к настоящему Положению».</w:t>
      </w:r>
    </w:p>
    <w:p w:rsidR="007D6303" w:rsidRPr="007D6303" w:rsidRDefault="007D6303" w:rsidP="007D6303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D6303">
        <w:rPr>
          <w:color w:val="000000" w:themeColor="text1"/>
          <w:sz w:val="28"/>
          <w:szCs w:val="28"/>
        </w:rPr>
        <w:t>дополнить Положение приложением № 2 в соответствии с приложением к настоящему решению.</w:t>
      </w:r>
    </w:p>
    <w:p w:rsidR="00F12C63" w:rsidRDefault="007D6303" w:rsidP="007D6303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:rsidR="007D6303" w:rsidRDefault="007D6303" w:rsidP="007D6303">
      <w:pPr>
        <w:jc w:val="both"/>
        <w:rPr>
          <w:color w:val="000000" w:themeColor="text1"/>
          <w:sz w:val="28"/>
          <w:szCs w:val="28"/>
        </w:rPr>
      </w:pPr>
    </w:p>
    <w:p w:rsidR="007D6303" w:rsidRDefault="007D6303" w:rsidP="007D6303">
      <w:pPr>
        <w:jc w:val="both"/>
        <w:rPr>
          <w:color w:val="000000" w:themeColor="text1"/>
          <w:sz w:val="28"/>
          <w:szCs w:val="28"/>
        </w:rPr>
      </w:pPr>
    </w:p>
    <w:p w:rsidR="007D6303" w:rsidRDefault="007D6303" w:rsidP="007D630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                                   О.Ю.Харламов</w:t>
      </w:r>
    </w:p>
    <w:p w:rsidR="007D6303" w:rsidRDefault="007D6303" w:rsidP="007D6303">
      <w:pPr>
        <w:jc w:val="both"/>
        <w:rPr>
          <w:color w:val="000000" w:themeColor="text1"/>
          <w:sz w:val="28"/>
          <w:szCs w:val="28"/>
        </w:rPr>
      </w:pPr>
    </w:p>
    <w:p w:rsidR="007D6303" w:rsidRDefault="007D6303" w:rsidP="007D6303">
      <w:pPr>
        <w:jc w:val="both"/>
        <w:rPr>
          <w:color w:val="000000" w:themeColor="text1"/>
          <w:sz w:val="28"/>
          <w:szCs w:val="28"/>
        </w:rPr>
      </w:pPr>
    </w:p>
    <w:p w:rsidR="00F12C63" w:rsidRPr="007D6303" w:rsidRDefault="007D6303" w:rsidP="007D630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 поселения                                         В.Г.Ферапонтов</w:t>
      </w:r>
    </w:p>
    <w:p w:rsidR="00F12C63" w:rsidRDefault="00F12C63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E6338B" w:rsidRDefault="00354979" w:rsidP="00E6338B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556326" w:rsidRPr="00556326">
        <w:rPr>
          <w:bCs/>
          <w:color w:val="000000"/>
        </w:rPr>
        <w:t>Совета депутатов городского поселения «Рабочий поселок Чегдомын»</w:t>
      </w:r>
      <w:r w:rsidR="00E6338B">
        <w:rPr>
          <w:i/>
          <w:iCs/>
          <w:color w:val="000000"/>
        </w:rPr>
        <w:t xml:space="preserve"> </w:t>
      </w:r>
    </w:p>
    <w:p w:rsidR="00354979" w:rsidRPr="00555D09" w:rsidRDefault="008A4192" w:rsidP="00E6338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«17» февраля </w:t>
      </w:r>
      <w:r w:rsidR="00354979" w:rsidRPr="00555D09">
        <w:rPr>
          <w:color w:val="000000" w:themeColor="text1"/>
        </w:rPr>
        <w:t xml:space="preserve"> 202</w:t>
      </w:r>
      <w:r w:rsidR="00F76F42">
        <w:rPr>
          <w:color w:val="000000" w:themeColor="text1"/>
        </w:rPr>
        <w:t>2</w:t>
      </w:r>
      <w:r>
        <w:rPr>
          <w:color w:val="000000" w:themeColor="text1"/>
        </w:rPr>
        <w:t>г</w:t>
      </w:r>
      <w:r w:rsidR="00354979" w:rsidRPr="00555D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№  337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556326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0D5DC5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0D5DC5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5977D4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0D5DC5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5977D4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0D5DC5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0D5DC5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lastRenderedPageBreak/>
              <w:t xml:space="preserve">Количество </w:t>
            </w:r>
            <w:r w:rsidRPr="006073C6">
              <w:rPr>
                <w:sz w:val="20"/>
                <w:szCs w:val="20"/>
              </w:rPr>
              <w:lastRenderedPageBreak/>
              <w:t>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плановых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 xml:space="preserve">контрольных </w:t>
            </w:r>
            <w:r>
              <w:rPr>
                <w:sz w:val="20"/>
                <w:szCs w:val="20"/>
              </w:rPr>
              <w:lastRenderedPageBreak/>
              <w:t>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</w:t>
            </w:r>
            <w:r w:rsidRPr="006073C6">
              <w:rPr>
                <w:sz w:val="20"/>
                <w:szCs w:val="20"/>
              </w:rPr>
              <w:lastRenderedPageBreak/>
              <w:t>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5DC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F7E71" w:rsidRPr="00700821" w:rsidRDefault="00CF7E71" w:rsidP="00CF7E7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CF7E71" w:rsidRDefault="00CF7E71" w:rsidP="00CF7E71">
      <w:pPr>
        <w:rPr>
          <w:color w:val="000000" w:themeColor="text1"/>
        </w:rPr>
      </w:pP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CF7E71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C0126C" w:rsidRDefault="00C0126C">
      <w:pPr>
        <w:rPr>
          <w:color w:val="000000" w:themeColor="text1"/>
        </w:rPr>
      </w:pPr>
    </w:p>
    <w:p w:rsidR="00F76F42" w:rsidRDefault="00F76F42">
      <w:pPr>
        <w:rPr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03374E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0D" w:rsidRDefault="0026640D" w:rsidP="00165F1F">
      <w:r>
        <w:separator/>
      </w:r>
    </w:p>
  </w:endnote>
  <w:endnote w:type="continuationSeparator" w:id="0">
    <w:p w:rsidR="0026640D" w:rsidRDefault="0026640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0D" w:rsidRDefault="0026640D" w:rsidP="00165F1F">
      <w:r>
        <w:separator/>
      </w:r>
    </w:p>
  </w:footnote>
  <w:footnote w:type="continuationSeparator" w:id="0">
    <w:p w:rsidR="0026640D" w:rsidRDefault="0026640D" w:rsidP="00165F1F">
      <w:r>
        <w:continuationSeparator/>
      </w:r>
    </w:p>
  </w:footnote>
  <w:footnote w:id="1">
    <w:p w:rsidR="00D8624E" w:rsidRDefault="00D8624E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0D5DC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33774"/>
    <w:multiLevelType w:val="hybridMultilevel"/>
    <w:tmpl w:val="65FC1276"/>
    <w:lvl w:ilvl="0" w:tplc="DEB674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C8A4333"/>
    <w:multiLevelType w:val="hybridMultilevel"/>
    <w:tmpl w:val="8604D5F4"/>
    <w:lvl w:ilvl="0" w:tplc="0486EE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D5DC5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6640D"/>
    <w:rsid w:val="00274093"/>
    <w:rsid w:val="00290B22"/>
    <w:rsid w:val="002B1893"/>
    <w:rsid w:val="002B2AD2"/>
    <w:rsid w:val="002B74E0"/>
    <w:rsid w:val="002B79C9"/>
    <w:rsid w:val="002D3F6B"/>
    <w:rsid w:val="002F142A"/>
    <w:rsid w:val="00305F5C"/>
    <w:rsid w:val="00325827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56326"/>
    <w:rsid w:val="00563C1F"/>
    <w:rsid w:val="0058100A"/>
    <w:rsid w:val="005977D4"/>
    <w:rsid w:val="005B3716"/>
    <w:rsid w:val="006660B7"/>
    <w:rsid w:val="006E1A57"/>
    <w:rsid w:val="00701A7F"/>
    <w:rsid w:val="00715041"/>
    <w:rsid w:val="00734E37"/>
    <w:rsid w:val="00797B53"/>
    <w:rsid w:val="007A72CB"/>
    <w:rsid w:val="007B7843"/>
    <w:rsid w:val="007C7D37"/>
    <w:rsid w:val="007D5E00"/>
    <w:rsid w:val="007D6303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A4192"/>
    <w:rsid w:val="008B41E4"/>
    <w:rsid w:val="008C7CC0"/>
    <w:rsid w:val="008D5B90"/>
    <w:rsid w:val="008E6EC4"/>
    <w:rsid w:val="00901774"/>
    <w:rsid w:val="00945B02"/>
    <w:rsid w:val="00951C54"/>
    <w:rsid w:val="00974767"/>
    <w:rsid w:val="0099719A"/>
    <w:rsid w:val="009A3FE0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BF45D3"/>
    <w:rsid w:val="00C00A30"/>
    <w:rsid w:val="00C0126C"/>
    <w:rsid w:val="00C05310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B0587"/>
    <w:rsid w:val="00EC6D3D"/>
    <w:rsid w:val="00EE11A6"/>
    <w:rsid w:val="00EF63D5"/>
    <w:rsid w:val="00F00FC2"/>
    <w:rsid w:val="00F10F98"/>
    <w:rsid w:val="00F12C63"/>
    <w:rsid w:val="00F533D7"/>
    <w:rsid w:val="00F55FC3"/>
    <w:rsid w:val="00F7313E"/>
    <w:rsid w:val="00F76F42"/>
    <w:rsid w:val="00F9312F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8441E-A7A1-4CD5-B5C6-1E5A3760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1"/>
    <w:qFormat/>
    <w:rsid w:val="00290B2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Орготдел</cp:lastModifiedBy>
  <cp:revision>24</cp:revision>
  <cp:lastPrinted>2022-02-18T00:32:00Z</cp:lastPrinted>
  <dcterms:created xsi:type="dcterms:W3CDTF">2021-12-15T12:22:00Z</dcterms:created>
  <dcterms:modified xsi:type="dcterms:W3CDTF">2022-02-28T22:32:00Z</dcterms:modified>
</cp:coreProperties>
</file>